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color w:val="00B050"/>
          <w:sz w:val="24"/>
          <w:szCs w:val="24"/>
        </w:rPr>
      </w:pPr>
      <w:r>
        <w:rPr>
          <w:rFonts w:hint="eastAsia" w:ascii="微软雅黑" w:hAnsi="微软雅黑" w:eastAsia="微软雅黑"/>
          <w:b/>
          <w:color w:val="00B050"/>
          <w:sz w:val="24"/>
          <w:szCs w:val="24"/>
          <w:lang w:val="en-US" w:eastAsia="zh-CN"/>
        </w:rPr>
        <w:t>中药材</w:t>
      </w:r>
      <w:r>
        <w:rPr>
          <w:rFonts w:hint="eastAsia" w:ascii="微软雅黑" w:hAnsi="微软雅黑" w:eastAsia="微软雅黑"/>
          <w:b/>
          <w:color w:val="00B050"/>
          <w:sz w:val="24"/>
          <w:szCs w:val="24"/>
        </w:rPr>
        <w:t>中</w:t>
      </w:r>
      <w:r>
        <w:rPr>
          <w:rFonts w:hint="eastAsia" w:ascii="微软雅黑" w:hAnsi="微软雅黑" w:eastAsia="微软雅黑"/>
          <w:b/>
          <w:color w:val="00B050"/>
          <w:sz w:val="24"/>
          <w:szCs w:val="24"/>
          <w:lang w:val="en-US" w:eastAsia="zh-CN"/>
        </w:rPr>
        <w:t>黄曲霉毒素</w:t>
      </w:r>
      <w:r>
        <w:rPr>
          <w:rFonts w:hint="eastAsia" w:ascii="微软雅黑" w:hAnsi="微软雅黑" w:eastAsia="微软雅黑"/>
          <w:b/>
          <w:color w:val="00B050"/>
          <w:sz w:val="24"/>
          <w:szCs w:val="24"/>
        </w:rPr>
        <w:t>的污染及快速定量检测</w:t>
      </w:r>
      <w:r>
        <w:rPr>
          <w:rFonts w:hint="eastAsia" w:ascii="微软雅黑" w:hAnsi="微软雅黑" w:eastAsia="微软雅黑"/>
          <w:b/>
          <w:color w:val="00B050"/>
          <w:sz w:val="24"/>
          <w:szCs w:val="24"/>
          <w:lang w:val="en-US" w:eastAsia="zh-CN"/>
        </w:rPr>
        <w:t>方案</w:t>
      </w:r>
    </w:p>
    <w:p>
      <w:pPr>
        <w:jc w:val="center"/>
        <w:rPr>
          <w:rFonts w:hint="eastAsia" w:ascii="微软雅黑" w:hAnsi="微软雅黑" w:eastAsia="微软雅黑" w:cs="微软雅黑"/>
          <w:sz w:val="21"/>
          <w:szCs w:val="21"/>
        </w:rPr>
      </w:pPr>
      <w:r>
        <w:rPr>
          <w:rStyle w:val="4"/>
          <w:rFonts w:hint="eastAsia" w:ascii="微软雅黑" w:hAnsi="微软雅黑" w:eastAsia="微软雅黑" w:cs="微软雅黑"/>
          <w:i w:val="0"/>
          <w:caps w:val="0"/>
          <w:color w:val="FF0000"/>
          <w:spacing w:val="0"/>
          <w:sz w:val="24"/>
          <w:szCs w:val="24"/>
          <w:lang w:val="en-US" w:eastAsia="zh-CN"/>
        </w:rPr>
        <w:t xml:space="preserve">                            </w:t>
      </w:r>
      <w:r>
        <w:rPr>
          <w:rStyle w:val="4"/>
          <w:rFonts w:hint="eastAsia" w:ascii="微软雅黑" w:hAnsi="微软雅黑" w:eastAsia="微软雅黑" w:cs="微软雅黑"/>
          <w:i w:val="0"/>
          <w:caps w:val="0"/>
          <w:color w:val="FF0000"/>
          <w:spacing w:val="0"/>
          <w:sz w:val="24"/>
          <w:szCs w:val="24"/>
        </w:rPr>
        <w:t>--8min准确定量</w:t>
      </w:r>
    </w:p>
    <w:p>
      <w:pPr>
        <w:rPr>
          <w:rFonts w:hint="eastAsia"/>
        </w:rPr>
      </w:pPr>
    </w:p>
    <w:p>
      <w:pPr>
        <w:rPr>
          <w:rFonts w:hint="eastAsia"/>
        </w:rPr>
      </w:pPr>
    </w:p>
    <w:p>
      <w:pPr>
        <w:numPr>
          <w:ilvl w:val="0"/>
          <w:numId w:val="1"/>
        </w:numPr>
        <w:ind w:left="0" w:leftChars="0" w:firstLine="361" w:firstLineChars="200"/>
        <w:rPr>
          <w:rFonts w:hint="eastAsia"/>
          <w:b/>
          <w:bCs/>
          <w:color w:val="00B050"/>
          <w:sz w:val="18"/>
          <w:szCs w:val="18"/>
        </w:rPr>
      </w:pPr>
      <w:r>
        <w:rPr>
          <w:rFonts w:hint="eastAsia"/>
          <w:b/>
          <w:bCs/>
          <w:color w:val="00B050"/>
          <w:sz w:val="18"/>
          <w:szCs w:val="18"/>
        </w:rPr>
        <w:t>黄曲霉毒素</w:t>
      </w:r>
      <w:r>
        <w:rPr>
          <w:rFonts w:hint="eastAsia"/>
          <w:b/>
          <w:bCs/>
          <w:color w:val="00B050"/>
          <w:sz w:val="18"/>
          <w:szCs w:val="18"/>
          <w:lang w:val="en-US" w:eastAsia="zh-CN"/>
        </w:rPr>
        <w:t>概述</w:t>
      </w:r>
      <w:r>
        <w:rPr>
          <w:rFonts w:hint="eastAsia"/>
          <w:b/>
          <w:bCs/>
          <w:color w:val="00B050"/>
          <w:sz w:val="18"/>
          <w:szCs w:val="18"/>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 xml:space="preserve">黄曲霉毒素是一类真菌(黄曲霉和寄生曲霉)的有毒的代谢产物，具有很强的致癌性，它们主要存在于药材、谷物、坚果、棉籽以及动物饲料相关的产品中。毒性远远高于氰化物、砷化物和有机农药的毒性，且以B1毒性最大。当人摄入量大时，会发生急性中毒，急性肝炎、出血性坏死、肝细胞脂肪变性和胆管增生。当微量持续摄入时，会造成慢性中毒，生长障碍，引起纤维性病变，致使纤维组织增生。 </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国家食品药品监督管理局在关于规范中药生产经营秩序严厉查处违法违规行为的通知(国食药监安[2012]187号）中，要求加强对重金属及有害元素、农药残留、黄曲霉毒素等安全性指标的检测和控制，切实保证中药材质量和安全，另要求企业具备与生产品种相适应的检验设备和能力，严把质量检验关。《国家药品安全“十二五”规划》，规划中明确提出“开展药品快速检验技术研究，搭建检验技术共享平台”、“加快推进药品快速检验技术在基层的应用，配置快速检验设备”、“加强县级机构快速检验能力建设”的要求。</w:t>
      </w:r>
    </w:p>
    <w:p>
      <w:pPr>
        <w:keepNext w:val="0"/>
        <w:keepLines w:val="0"/>
        <w:pageBreakBefore w:val="0"/>
        <w:widowControl w:val="0"/>
        <w:kinsoku/>
        <w:wordWrap/>
        <w:overflowPunct/>
        <w:topLinePunct w:val="0"/>
        <w:autoSpaceDE/>
        <w:autoSpaceDN/>
        <w:bidi w:val="0"/>
        <w:adjustRightInd/>
        <w:snapToGrid/>
        <w:spacing w:line="420" w:lineRule="atLeast"/>
        <w:ind w:right="0" w:rightChars="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p>
    <w:p>
      <w:pPr>
        <w:pStyle w:val="7"/>
        <w:numPr>
          <w:ilvl w:val="0"/>
          <w:numId w:val="1"/>
        </w:numPr>
        <w:spacing w:line="360" w:lineRule="auto"/>
        <w:ind w:left="0" w:leftChars="0" w:firstLine="360" w:firstLineChars="200"/>
        <w:rPr>
          <w:rFonts w:ascii="微软雅黑" w:hAnsi="微软雅黑" w:eastAsia="微软雅黑"/>
          <w:b/>
          <w:color w:val="00B050"/>
          <w:sz w:val="18"/>
          <w:szCs w:val="18"/>
        </w:rPr>
      </w:pPr>
      <w:r>
        <w:rPr>
          <w:rFonts w:hint="eastAsia" w:ascii="微软雅黑" w:hAnsi="微软雅黑" w:eastAsia="微软雅黑"/>
          <w:b/>
          <w:color w:val="00B050"/>
          <w:sz w:val="18"/>
          <w:szCs w:val="18"/>
        </w:rPr>
        <w:t>黄曲霉毒素检测</w:t>
      </w:r>
      <w:r>
        <w:rPr>
          <w:rFonts w:hint="eastAsia" w:ascii="微软雅黑" w:hAnsi="微软雅黑" w:eastAsia="微软雅黑"/>
          <w:b/>
          <w:color w:val="00B050"/>
          <w:sz w:val="18"/>
          <w:szCs w:val="18"/>
          <w:lang w:val="en-US" w:eastAsia="zh-CN"/>
        </w:rPr>
        <w:t>的中药材品种及其国家</w:t>
      </w:r>
      <w:r>
        <w:rPr>
          <w:rFonts w:hint="eastAsia" w:ascii="微软雅黑" w:hAnsi="微软雅黑" w:eastAsia="微软雅黑"/>
          <w:b/>
          <w:color w:val="00B050"/>
          <w:sz w:val="18"/>
          <w:szCs w:val="18"/>
        </w:rPr>
        <w:t>限量标准</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60" w:firstLineChars="200"/>
        <w:jc w:val="left"/>
        <w:textAlignment w:val="auto"/>
        <w:outlineLvl w:val="9"/>
        <w:rPr>
          <w:rFonts w:hint="eastAsia" w:ascii="微软雅黑" w:hAnsi="微软雅黑" w:eastAsia="微软雅黑" w:cs="微软雅黑"/>
          <w:b w:val="0"/>
          <w:i w:val="0"/>
          <w:caps w:val="0"/>
          <w:color w:val="auto"/>
          <w:spacing w:val="0"/>
          <w:sz w:val="18"/>
          <w:szCs w:val="18"/>
          <w:shd w:val="clear" w:fill="FFFFFF"/>
        </w:rPr>
      </w:pPr>
      <w:r>
        <w:rPr>
          <w:rFonts w:hint="eastAsia" w:ascii="微软雅黑" w:hAnsi="微软雅黑" w:eastAsia="微软雅黑" w:cs="微软雅黑"/>
          <w:b w:val="0"/>
          <w:i w:val="0"/>
          <w:caps w:val="0"/>
          <w:color w:val="auto"/>
          <w:spacing w:val="0"/>
          <w:sz w:val="18"/>
          <w:szCs w:val="18"/>
          <w:shd w:val="clear" w:fill="FFFFFF"/>
        </w:rPr>
        <w:t>2010版《中国药典》规定黄曲霉素检查的5种药材</w:t>
      </w:r>
      <w:r>
        <w:rPr>
          <w:rFonts w:hint="eastAsia" w:ascii="微软雅黑" w:hAnsi="微软雅黑" w:eastAsia="微软雅黑" w:cs="微软雅黑"/>
          <w:b w:val="0"/>
          <w:i w:val="0"/>
          <w:caps w:val="0"/>
          <w:color w:val="auto"/>
          <w:spacing w:val="0"/>
          <w:sz w:val="18"/>
          <w:szCs w:val="18"/>
          <w:shd w:val="clear" w:fill="FFFFFF"/>
          <w:lang w:eastAsia="zh-CN"/>
        </w:rPr>
        <w:t>：</w:t>
      </w:r>
      <w:r>
        <w:rPr>
          <w:rFonts w:hint="eastAsia" w:ascii="微软雅黑" w:hAnsi="微软雅黑" w:eastAsia="微软雅黑" w:cs="微软雅黑"/>
          <w:b w:val="0"/>
          <w:i w:val="0"/>
          <w:caps w:val="0"/>
          <w:color w:val="auto"/>
          <w:spacing w:val="0"/>
          <w:sz w:val="18"/>
          <w:szCs w:val="18"/>
          <w:shd w:val="clear" w:fill="FFFFFF"/>
        </w:rPr>
        <w:t>酸枣仁、僵蚕、胖大海、陈皮、桃仁。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60" w:firstLineChars="200"/>
        <w:jc w:val="left"/>
        <w:textAlignment w:val="auto"/>
        <w:outlineLvl w:val="9"/>
        <w:rPr>
          <w:rFonts w:hint="eastAsia" w:ascii="微软雅黑" w:hAnsi="微软雅黑" w:eastAsia="微软雅黑" w:cs="微软雅黑"/>
          <w:b w:val="0"/>
          <w:i w:val="0"/>
          <w:caps w:val="0"/>
          <w:color w:val="auto"/>
          <w:spacing w:val="0"/>
          <w:sz w:val="18"/>
          <w:szCs w:val="18"/>
          <w:shd w:val="clear" w:fill="FFFFFF"/>
          <w:lang w:eastAsia="zh-CN"/>
        </w:rPr>
      </w:pPr>
      <w:r>
        <w:rPr>
          <w:rFonts w:hint="eastAsia" w:ascii="微软雅黑" w:hAnsi="微软雅黑" w:eastAsia="微软雅黑" w:cs="微软雅黑"/>
          <w:b w:val="0"/>
          <w:i w:val="0"/>
          <w:caps w:val="0"/>
          <w:color w:val="auto"/>
          <w:spacing w:val="0"/>
          <w:sz w:val="18"/>
          <w:szCs w:val="18"/>
          <w:shd w:val="clear" w:fill="FFFFFF"/>
        </w:rPr>
        <w:t>现行的2015版《中国药典》规定黄曲霉毒素检查的19种中药材，相对2010版《中国药典》增加了14个品种</w:t>
      </w:r>
      <w:r>
        <w:rPr>
          <w:rFonts w:hint="eastAsia" w:ascii="微软雅黑" w:hAnsi="微软雅黑" w:eastAsia="微软雅黑" w:cs="微软雅黑"/>
          <w:b w:val="0"/>
          <w:i w:val="0"/>
          <w:caps w:val="0"/>
          <w:color w:val="auto"/>
          <w:spacing w:val="0"/>
          <w:sz w:val="18"/>
          <w:szCs w:val="18"/>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60" w:firstLineChars="200"/>
        <w:jc w:val="left"/>
        <w:textAlignment w:val="auto"/>
        <w:outlineLvl w:val="9"/>
        <w:rPr>
          <w:rFonts w:hint="eastAsia" w:ascii="微软雅黑" w:hAnsi="微软雅黑" w:eastAsia="微软雅黑" w:cs="微软雅黑"/>
          <w:b w:val="0"/>
          <w:i w:val="0"/>
          <w:caps w:val="0"/>
          <w:color w:val="auto"/>
          <w:spacing w:val="0"/>
          <w:sz w:val="18"/>
          <w:szCs w:val="18"/>
          <w:shd w:val="clear" w:fill="FFFFFF"/>
        </w:rPr>
      </w:pPr>
      <w:r>
        <w:rPr>
          <w:rFonts w:hint="eastAsia" w:ascii="微软雅黑" w:hAnsi="微软雅黑" w:eastAsia="微软雅黑" w:cs="微软雅黑"/>
          <w:b w:val="0"/>
          <w:i w:val="0"/>
          <w:caps w:val="0"/>
          <w:color w:val="auto"/>
          <w:spacing w:val="0"/>
          <w:sz w:val="18"/>
          <w:szCs w:val="18"/>
          <w:shd w:val="clear" w:fill="FFFFFF"/>
        </w:rPr>
        <w:t>(1)根及根茎类：远志；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60" w:firstLineChars="200"/>
        <w:jc w:val="left"/>
        <w:textAlignment w:val="auto"/>
        <w:outlineLvl w:val="9"/>
        <w:rPr>
          <w:rFonts w:hint="eastAsia" w:ascii="微软雅黑" w:hAnsi="微软雅黑" w:eastAsia="微软雅黑" w:cs="微软雅黑"/>
          <w:b w:val="0"/>
          <w:i w:val="0"/>
          <w:caps w:val="0"/>
          <w:color w:val="auto"/>
          <w:spacing w:val="0"/>
          <w:sz w:val="18"/>
          <w:szCs w:val="18"/>
          <w:shd w:val="clear" w:fill="FFFFFF"/>
        </w:rPr>
      </w:pPr>
      <w:r>
        <w:rPr>
          <w:rFonts w:hint="eastAsia" w:ascii="微软雅黑" w:hAnsi="微软雅黑" w:eastAsia="微软雅黑" w:cs="微软雅黑"/>
          <w:b w:val="0"/>
          <w:i w:val="0"/>
          <w:caps w:val="0"/>
          <w:color w:val="auto"/>
          <w:spacing w:val="0"/>
          <w:sz w:val="18"/>
          <w:szCs w:val="18"/>
          <w:shd w:val="clear" w:fill="FFFFFF"/>
        </w:rPr>
        <w:t>(2)果实种子类：大枣、肉豆蔻、决明子、麦芽、陈皮、使君子、柏子仁、胖大海、莲子、桃仁、槟榔、酸枣仁、薏苡仁；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360" w:firstLineChars="200"/>
        <w:jc w:val="left"/>
        <w:textAlignment w:val="auto"/>
        <w:outlineLvl w:val="9"/>
        <w:rPr>
          <w:rFonts w:hint="eastAsia" w:ascii="微软雅黑" w:hAnsi="微软雅黑" w:eastAsia="微软雅黑" w:cs="微软雅黑"/>
          <w:b w:val="0"/>
          <w:i w:val="0"/>
          <w:caps w:val="0"/>
          <w:color w:val="auto"/>
          <w:spacing w:val="0"/>
          <w:sz w:val="18"/>
          <w:szCs w:val="18"/>
          <w:shd w:val="clear" w:fill="FFFFFF"/>
        </w:rPr>
      </w:pPr>
      <w:r>
        <w:rPr>
          <w:rFonts w:hint="eastAsia" w:ascii="微软雅黑" w:hAnsi="微软雅黑" w:eastAsia="微软雅黑" w:cs="微软雅黑"/>
          <w:b w:val="0"/>
          <w:i w:val="0"/>
          <w:caps w:val="0"/>
          <w:color w:val="auto"/>
          <w:spacing w:val="0"/>
          <w:sz w:val="18"/>
          <w:szCs w:val="18"/>
          <w:shd w:val="clear" w:fill="FFFFFF"/>
        </w:rPr>
        <w:t>(3)动物类：水蛭、地龙、全蝎、蜈蚣、僵蚕。</w:t>
      </w:r>
    </w:p>
    <w:tbl>
      <w:tblPr>
        <w:tblStyle w:val="6"/>
        <w:tblW w:w="8522" w:type="dxa"/>
        <w:tblInd w:w="0" w:type="dxa"/>
        <w:tblBorders>
          <w:top w:val="single" w:color="auto" w:sz="2" w:space="0"/>
          <w:left w:val="none" w:color="auto" w:sz="0" w:space="0"/>
          <w:bottom w:val="single" w:color="auto" w:sz="2" w:space="0"/>
          <w:right w:val="none" w:color="auto" w:sz="0" w:space="0"/>
          <w:insideH w:val="single" w:color="auto" w:sz="2" w:space="0"/>
          <w:insideV w:val="none" w:color="auto" w:sz="0" w:space="0"/>
        </w:tblBorders>
        <w:tblLayout w:type="fixed"/>
        <w:tblCellMar>
          <w:left w:w="108" w:type="dxa"/>
          <w:right w:w="108" w:type="dxa"/>
        </w:tblCellMar>
      </w:tblPr>
      <w:tblGrid>
        <w:gridCol w:w="4261"/>
        <w:gridCol w:w="4261"/>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Layout w:type="fixed"/>
          <w:tblCellMar>
            <w:left w:w="108" w:type="dxa"/>
            <w:right w:w="108" w:type="dxa"/>
          </w:tblCellMar>
        </w:tblPrEx>
        <w:tc>
          <w:tcPr>
            <w:tcW w:w="4261" w:type="dxa"/>
            <w:tcBorders>
              <w:tl2br w:val="nil"/>
              <w:tr2bl w:val="nil"/>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微软雅黑" w:hAnsi="微软雅黑" w:eastAsia="微软雅黑" w:cs="微软雅黑"/>
                <w:b w:val="0"/>
                <w:i w:val="0"/>
                <w:caps w:val="0"/>
                <w:color w:val="auto"/>
                <w:spacing w:val="0"/>
                <w:sz w:val="18"/>
                <w:szCs w:val="18"/>
                <w:shd w:val="clear" w:fill="FFFFFF"/>
                <w:vertAlign w:val="baseline"/>
              </w:rPr>
            </w:pPr>
            <w:r>
              <w:rPr>
                <w:rFonts w:hint="eastAsia" w:ascii="微软雅黑" w:hAnsi="微软雅黑" w:eastAsia="微软雅黑"/>
                <w:b/>
                <w:bCs w:val="0"/>
                <w:color w:val="auto"/>
                <w:sz w:val="18"/>
                <w:szCs w:val="18"/>
                <w:lang w:val="en-US" w:eastAsia="zh-CN"/>
              </w:rPr>
              <w:t>黄曲霉毒素</w:t>
            </w:r>
            <w:r>
              <w:rPr>
                <w:rFonts w:hint="eastAsia" w:ascii="微软雅黑" w:hAnsi="微软雅黑" w:eastAsia="微软雅黑"/>
                <w:b/>
                <w:bCs w:val="0"/>
                <w:color w:val="auto"/>
                <w:sz w:val="18"/>
                <w:szCs w:val="18"/>
              </w:rPr>
              <w:t>类别</w:t>
            </w:r>
          </w:p>
        </w:tc>
        <w:tc>
          <w:tcPr>
            <w:tcW w:w="4261" w:type="dxa"/>
            <w:tcBorders>
              <w:tl2br w:val="nil"/>
              <w:tr2bl w:val="nil"/>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微软雅黑" w:hAnsi="微软雅黑" w:eastAsia="微软雅黑" w:cs="微软雅黑"/>
                <w:b w:val="0"/>
                <w:i w:val="0"/>
                <w:caps w:val="0"/>
                <w:color w:val="auto"/>
                <w:spacing w:val="0"/>
                <w:sz w:val="18"/>
                <w:szCs w:val="18"/>
                <w:shd w:val="clear" w:fill="FFFFFF"/>
                <w:vertAlign w:val="baseline"/>
              </w:rPr>
            </w:pPr>
            <w:r>
              <w:rPr>
                <w:rFonts w:hint="eastAsia" w:ascii="微软雅黑" w:hAnsi="微软雅黑" w:eastAsia="微软雅黑"/>
                <w:b/>
                <w:bCs w:val="0"/>
                <w:color w:val="auto"/>
                <w:sz w:val="18"/>
                <w:szCs w:val="18"/>
              </w:rPr>
              <w:t>限量标准（μg/kg）</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Layout w:type="fixed"/>
          <w:tblCellMar>
            <w:left w:w="108" w:type="dxa"/>
            <w:right w:w="108" w:type="dxa"/>
          </w:tblCellMar>
        </w:tblPrEx>
        <w:tc>
          <w:tcPr>
            <w:tcW w:w="4261" w:type="dxa"/>
            <w:tcBorders>
              <w:tl2br w:val="nil"/>
              <w:tr2bl w:val="nil"/>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微软雅黑" w:hAnsi="微软雅黑" w:eastAsia="微软雅黑" w:cs="微软雅黑"/>
                <w:b w:val="0"/>
                <w:i w:val="0"/>
                <w:caps w:val="0"/>
                <w:color w:val="auto"/>
                <w:spacing w:val="0"/>
                <w:sz w:val="18"/>
                <w:szCs w:val="18"/>
                <w:shd w:val="clear" w:fill="FFFFFF"/>
                <w:vertAlign w:val="baseline"/>
              </w:rPr>
            </w:pPr>
            <w:r>
              <w:rPr>
                <w:rFonts w:hint="eastAsia" w:ascii="微软雅黑" w:hAnsi="微软雅黑" w:eastAsia="微软雅黑"/>
                <w:b w:val="0"/>
                <w:bCs/>
                <w:color w:val="auto"/>
                <w:sz w:val="18"/>
                <w:szCs w:val="18"/>
                <w:lang w:val="en-US" w:eastAsia="zh-CN"/>
              </w:rPr>
              <w:t>黄曲霉毒素B1</w:t>
            </w:r>
          </w:p>
        </w:tc>
        <w:tc>
          <w:tcPr>
            <w:tcW w:w="4261" w:type="dxa"/>
            <w:tcBorders>
              <w:tl2br w:val="nil"/>
              <w:tr2bl w:val="nil"/>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微软雅黑" w:hAnsi="微软雅黑" w:eastAsia="微软雅黑" w:cs="微软雅黑"/>
                <w:b w:val="0"/>
                <w:i w:val="0"/>
                <w:caps w:val="0"/>
                <w:color w:val="auto"/>
                <w:spacing w:val="0"/>
                <w:sz w:val="18"/>
                <w:szCs w:val="18"/>
                <w:shd w:val="clear" w:fill="FFFFFF"/>
                <w:vertAlign w:val="baseline"/>
              </w:rPr>
            </w:pPr>
            <w:r>
              <w:rPr>
                <w:rFonts w:hint="eastAsia" w:ascii="微软雅黑" w:hAnsi="微软雅黑" w:eastAsia="微软雅黑"/>
                <w:color w:val="auto"/>
                <w:sz w:val="18"/>
                <w:szCs w:val="18"/>
                <w:lang w:val="en-US" w:eastAsia="zh-CN"/>
              </w:rPr>
              <w:t>≤5</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Layout w:type="fixed"/>
          <w:tblCellMar>
            <w:left w:w="108" w:type="dxa"/>
            <w:right w:w="108" w:type="dxa"/>
          </w:tblCellMar>
        </w:tblPrEx>
        <w:trPr>
          <w:trHeight w:val="0" w:hRule="atLeast"/>
        </w:trPr>
        <w:tc>
          <w:tcPr>
            <w:tcW w:w="4261" w:type="dxa"/>
            <w:tcBorders>
              <w:tl2br w:val="nil"/>
              <w:tr2bl w:val="nil"/>
            </w:tcBorders>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微软雅黑" w:hAnsi="微软雅黑" w:eastAsia="微软雅黑" w:cs="微软雅黑"/>
                <w:b w:val="0"/>
                <w:i w:val="0"/>
                <w:caps w:val="0"/>
                <w:color w:val="auto"/>
                <w:spacing w:val="0"/>
                <w:sz w:val="18"/>
                <w:szCs w:val="18"/>
                <w:shd w:val="clear" w:fill="FFFFFF"/>
                <w:vertAlign w:val="baseline"/>
              </w:rPr>
            </w:pPr>
            <w:r>
              <w:rPr>
                <w:rFonts w:hint="eastAsia" w:ascii="微软雅黑" w:hAnsi="微软雅黑" w:eastAsia="微软雅黑"/>
                <w:b w:val="0"/>
                <w:bCs/>
                <w:color w:val="auto"/>
                <w:sz w:val="18"/>
                <w:szCs w:val="18"/>
                <w:lang w:val="en-US" w:eastAsia="zh-CN"/>
              </w:rPr>
              <w:t>黄曲霉毒素B1、黄曲霉毒素B2、黄曲霉毒素G1及黄曲霉毒素G2总量</w:t>
            </w:r>
          </w:p>
        </w:tc>
        <w:tc>
          <w:tcPr>
            <w:tcW w:w="4261" w:type="dxa"/>
            <w:tcBorders>
              <w:tl2br w:val="nil"/>
              <w:tr2bl w:val="nil"/>
            </w:tcBorders>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微软雅黑" w:hAnsi="微软雅黑" w:eastAsia="微软雅黑" w:cs="微软雅黑"/>
                <w:b w:val="0"/>
                <w:i w:val="0"/>
                <w:caps w:val="0"/>
                <w:color w:val="auto"/>
                <w:spacing w:val="0"/>
                <w:sz w:val="18"/>
                <w:szCs w:val="18"/>
                <w:shd w:val="clear" w:fill="FFFFFF"/>
                <w:vertAlign w:val="baseline"/>
              </w:rPr>
            </w:pPr>
            <w:r>
              <w:rPr>
                <w:rFonts w:hint="eastAsia" w:ascii="微软雅黑" w:hAnsi="微软雅黑" w:eastAsia="微软雅黑"/>
                <w:color w:val="auto"/>
                <w:sz w:val="18"/>
                <w:szCs w:val="18"/>
                <w:lang w:val="en-US" w:eastAsia="zh-CN"/>
              </w:rPr>
              <w:t>≤10</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微软雅黑" w:hAnsi="微软雅黑" w:eastAsia="微软雅黑"/>
          <w:b w:val="0"/>
          <w:bCs/>
          <w:color w:val="auto"/>
          <w:sz w:val="18"/>
          <w:szCs w:val="18"/>
        </w:rPr>
      </w:pPr>
      <w:r>
        <w:rPr>
          <w:rFonts w:hint="eastAsia" w:ascii="微软雅黑" w:hAnsi="微软雅黑" w:eastAsia="微软雅黑"/>
          <w:b/>
          <w:color w:val="auto"/>
          <w:sz w:val="18"/>
          <w:szCs w:val="18"/>
        </w:rPr>
        <w:t>引自：</w:t>
      </w:r>
      <w:r>
        <w:rPr>
          <w:rFonts w:hint="eastAsia" w:ascii="微软雅黑" w:hAnsi="微软雅黑" w:eastAsia="微软雅黑"/>
          <w:b w:val="0"/>
          <w:bCs/>
          <w:color w:val="auto"/>
          <w:sz w:val="18"/>
          <w:szCs w:val="18"/>
        </w:rPr>
        <w:t>现行的2015版《中国药典》</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微软雅黑" w:hAnsi="微软雅黑" w:eastAsia="微软雅黑"/>
          <w:b w:val="0"/>
          <w:bCs/>
          <w:color w:val="auto"/>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《中国药典》对黄曲霉毒素检测的要求，既突出了中药整体质量控制的特点，又增加和完善了安全性控制方面的要求。</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bCs/>
          <w:i w:val="0"/>
          <w:caps w:val="0"/>
          <w:color w:val="00B050"/>
          <w:spacing w:val="0"/>
          <w:kern w:val="0"/>
          <w:sz w:val="18"/>
          <w:szCs w:val="18"/>
          <w:shd w:val="clear" w:fill="FFFFFF"/>
          <w:lang w:val="en-US" w:eastAsia="zh-CN" w:bidi="ar"/>
        </w:rPr>
      </w:pPr>
      <w:r>
        <w:rPr>
          <w:rFonts w:hint="eastAsia" w:ascii="微软雅黑" w:hAnsi="微软雅黑" w:eastAsia="微软雅黑" w:cs="微软雅黑"/>
          <w:b/>
          <w:bCs/>
          <w:i w:val="0"/>
          <w:caps w:val="0"/>
          <w:color w:val="00B050"/>
          <w:spacing w:val="0"/>
          <w:kern w:val="0"/>
          <w:sz w:val="18"/>
          <w:szCs w:val="18"/>
          <w:shd w:val="clear" w:fill="FFFFFF"/>
          <w:lang w:val="en-US" w:eastAsia="zh-CN" w:bidi="ar"/>
        </w:rPr>
        <w:t>黄曲霉毒素超标事件频发</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1、2017年8月10日，上海市食品药品监督管理局发布了2017年第4期药品监督抽验质量公告。公告显示，有6家药企生产的7款饮片抽检不合格，不合格项目包括含量测定、性状、炮制、浸出物、黄曲霉毒素等。统计发现，性状、炮制不符合标准的饮片批次最多，共有4批。</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2、据欧盟食品和饲料类快速预警系统(RASFF)消息，2017年8月10日西班牙通过RASFF通报我国出口去壳花生不合格。不合格原因为，黄曲霉毒素超标。</w:t>
      </w:r>
    </w:p>
    <w:p>
      <w:pPr>
        <w:keepNext w:val="0"/>
        <w:keepLines w:val="0"/>
        <w:pageBreakBefore w:val="0"/>
        <w:widowControl w:val="0"/>
        <w:kinsoku/>
        <w:wordWrap/>
        <w:overflowPunct/>
        <w:topLinePunct w:val="0"/>
        <w:autoSpaceDE/>
        <w:autoSpaceDN/>
        <w:bidi w:val="0"/>
        <w:adjustRightInd/>
        <w:snapToGrid/>
        <w:spacing w:line="420" w:lineRule="atLeast"/>
        <w:ind w:right="0" w:rightChars="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一些药品、食品中发现黄曲霉毒素超标，有的问题出在原料上，还有的是在企业自检过程中没有发现，说明其生产和质量控制存在明显的缺陷。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p>
    <w:p>
      <w:pPr>
        <w:pStyle w:val="7"/>
        <w:numPr>
          <w:ilvl w:val="0"/>
          <w:numId w:val="1"/>
        </w:numPr>
        <w:spacing w:line="360" w:lineRule="auto"/>
        <w:ind w:left="0" w:leftChars="0" w:firstLine="360" w:firstLineChars="200"/>
        <w:rPr>
          <w:rFonts w:hint="eastAsia" w:ascii="微软雅黑" w:hAnsi="微软雅黑" w:eastAsia="微软雅黑" w:cs="微软雅黑"/>
          <w:b/>
          <w:bCs/>
          <w:color w:val="00B050"/>
          <w:kern w:val="0"/>
          <w:sz w:val="18"/>
          <w:szCs w:val="18"/>
          <w:lang w:val="en-US" w:eastAsia="zh-CN" w:bidi="ar"/>
        </w:rPr>
      </w:pPr>
      <w:r>
        <w:rPr>
          <w:rFonts w:hint="eastAsia" w:ascii="微软雅黑" w:hAnsi="微软雅黑" w:eastAsia="微软雅黑" w:cs="微软雅黑"/>
          <w:b/>
          <w:bCs/>
          <w:color w:val="00B050"/>
          <w:kern w:val="0"/>
          <w:sz w:val="18"/>
          <w:szCs w:val="18"/>
          <w:lang w:val="en-US" w:eastAsia="zh-CN" w:bidi="ar"/>
        </w:rPr>
        <w:t>上海飞测生物</w:t>
      </w:r>
      <w:r>
        <w:rPr>
          <w:rFonts w:hint="eastAsia" w:ascii="微软雅黑" w:hAnsi="微软雅黑" w:eastAsia="微软雅黑" w:cs="微软雅黑"/>
          <w:b/>
          <w:bCs/>
          <w:color w:val="00B050"/>
          <w:sz w:val="18"/>
          <w:szCs w:val="18"/>
          <w:lang w:val="en-US" w:eastAsia="zh-CN"/>
        </w:rPr>
        <w:t>中药材中黄曲霉毒素B1</w:t>
      </w:r>
      <w:r>
        <w:rPr>
          <w:rFonts w:hint="eastAsia" w:ascii="微软雅黑" w:hAnsi="微软雅黑" w:eastAsia="微软雅黑" w:cs="微软雅黑"/>
          <w:b/>
          <w:bCs/>
          <w:color w:val="00B050"/>
          <w:kern w:val="0"/>
          <w:sz w:val="18"/>
          <w:szCs w:val="18"/>
          <w:lang w:val="en-US" w:eastAsia="zh-CN" w:bidi="ar"/>
        </w:rPr>
        <w:t>快速定量检测方案--8min准确定量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right="0" w:rightChars="0" w:firstLine="360" w:firstLineChars="200"/>
        <w:jc w:val="both"/>
        <w:textAlignment w:val="auto"/>
        <w:outlineLvl w:val="9"/>
        <w:rPr>
          <w:rFonts w:hint="eastAsia"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上海飞测生物基于领先的荧光定量FPOCT技术平台，可在8min快速准确定量的检测出中药材中黄曲霉毒素B1的残留含量，准确性符合HPLC法的检测结果，适用于各类中药材加工企业、第三方检测机构及政府监管部门。</w:t>
      </w:r>
    </w:p>
    <w:p>
      <w:pPr>
        <w:pStyle w:val="7"/>
        <w:numPr>
          <w:ilvl w:val="0"/>
          <w:numId w:val="0"/>
        </w:numPr>
        <w:spacing w:line="360" w:lineRule="auto"/>
        <w:ind w:leftChars="200"/>
        <w:rPr>
          <w:rFonts w:hint="eastAsia" w:ascii="微软雅黑" w:hAnsi="微软雅黑" w:eastAsia="微软雅黑" w:cs="微软雅黑"/>
          <w:b/>
          <w:bCs/>
          <w:color w:val="00B050"/>
          <w:kern w:val="0"/>
          <w:sz w:val="18"/>
          <w:szCs w:val="18"/>
          <w:lang w:val="en-US" w:eastAsia="zh-CN" w:bidi="ar"/>
        </w:rPr>
      </w:pPr>
      <w:r>
        <w:rPr>
          <w:rFonts w:hint="eastAsia" w:ascii="微软雅黑" w:hAnsi="微软雅黑" w:eastAsia="微软雅黑"/>
          <w:b/>
          <w:color w:val="00B050"/>
          <w:sz w:val="18"/>
          <w:szCs w:val="18"/>
        </w:rPr>
        <w:drawing>
          <wp:anchor distT="0" distB="0" distL="114300" distR="114300" simplePos="0" relativeHeight="251658240" behindDoc="0" locked="0" layoutInCell="1" allowOverlap="1">
            <wp:simplePos x="0" y="0"/>
            <wp:positionH relativeFrom="column">
              <wp:posOffset>3638550</wp:posOffset>
            </wp:positionH>
            <wp:positionV relativeFrom="paragraph">
              <wp:posOffset>1391920</wp:posOffset>
            </wp:positionV>
            <wp:extent cx="2380615" cy="1727835"/>
            <wp:effectExtent l="0" t="0" r="635" b="5715"/>
            <wp:wrapSquare wrapText="bothSides"/>
            <wp:docPr id="16" name="图片 15" descr="IMG_0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0019.png"/>
                    <pic:cNvPicPr>
                      <a:picLocks noChangeAspect="1"/>
                    </pic:cNvPicPr>
                  </pic:nvPicPr>
                  <pic:blipFill>
                    <a:blip r:embed="rId4" cstate="print"/>
                    <a:stretch>
                      <a:fillRect/>
                    </a:stretch>
                  </pic:blipFill>
                  <pic:spPr>
                    <a:xfrm>
                      <a:off x="0" y="0"/>
                      <a:ext cx="2380615" cy="1727835"/>
                    </a:xfrm>
                    <a:prstGeom prst="rect">
                      <a:avLst/>
                    </a:prstGeom>
                  </pic:spPr>
                </pic:pic>
              </a:graphicData>
            </a:graphic>
          </wp:anchor>
        </w:drawing>
      </w:r>
      <w:r>
        <w:rPr>
          <w:rFonts w:hint="eastAsia" w:ascii="微软雅黑" w:hAnsi="微软雅黑" w:eastAsia="微软雅黑" w:cs="微软雅黑"/>
          <w:b/>
          <w:bCs/>
          <w:color w:val="00B050"/>
          <w:kern w:val="0"/>
          <w:sz w:val="18"/>
          <w:szCs w:val="18"/>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55245</wp:posOffset>
            </wp:positionV>
            <wp:extent cx="5268595" cy="1273175"/>
            <wp:effectExtent l="0" t="0" r="8255" b="3175"/>
            <wp:wrapSquare wrapText="bothSides"/>
            <wp:docPr id="5" name="图片 5" descr="原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原理"/>
                    <pic:cNvPicPr>
                      <a:picLocks noChangeAspect="1"/>
                    </pic:cNvPicPr>
                  </pic:nvPicPr>
                  <pic:blipFill>
                    <a:blip r:embed="rId5"/>
                    <a:stretch>
                      <a:fillRect/>
                    </a:stretch>
                  </pic:blipFill>
                  <pic:spPr>
                    <a:xfrm>
                      <a:off x="0" y="0"/>
                      <a:ext cx="5268595" cy="1273175"/>
                    </a:xfrm>
                    <a:prstGeom prst="rect">
                      <a:avLst/>
                    </a:prstGeom>
                  </pic:spPr>
                </pic:pic>
              </a:graphicData>
            </a:graphic>
          </wp:anchor>
        </w:drawing>
      </w:r>
    </w:p>
    <w:p>
      <w:pPr>
        <w:pStyle w:val="7"/>
        <w:numPr>
          <w:ilvl w:val="1"/>
          <w:numId w:val="2"/>
        </w:numPr>
        <w:spacing w:line="360" w:lineRule="auto"/>
        <w:ind w:left="567" w:leftChars="0" w:hanging="567" w:firstLineChars="0"/>
        <w:rPr>
          <w:rFonts w:ascii="微软雅黑" w:hAnsi="微软雅黑" w:eastAsia="微软雅黑"/>
          <w:b/>
          <w:color w:val="00B050"/>
          <w:sz w:val="18"/>
          <w:szCs w:val="18"/>
        </w:rPr>
      </w:pPr>
      <w:r>
        <w:rPr>
          <w:rFonts w:hint="eastAsia" w:ascii="微软雅黑" w:hAnsi="微软雅黑" w:eastAsia="微软雅黑" w:cs="微软雅黑"/>
          <w:b/>
          <w:bCs/>
          <w:color w:val="00B050"/>
          <w:sz w:val="18"/>
          <w:szCs w:val="18"/>
          <w:lang w:val="en-US" w:eastAsia="zh-CN"/>
        </w:rPr>
        <w:t>黄曲霉毒素B1</w:t>
      </w:r>
      <w:r>
        <w:rPr>
          <w:rFonts w:hint="eastAsia" w:ascii="微软雅黑" w:hAnsi="微软雅黑" w:eastAsia="微软雅黑"/>
          <w:b/>
          <w:color w:val="00B050"/>
          <w:sz w:val="18"/>
          <w:szCs w:val="18"/>
        </w:rPr>
        <w:t>荧光定量快速检测系统性能</w:t>
      </w:r>
    </w:p>
    <w:p>
      <w:pPr>
        <w:pStyle w:val="7"/>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检测灵敏度：0.5μg/kg；</w:t>
      </w:r>
    </w:p>
    <w:p>
      <w:pPr>
        <w:pStyle w:val="7"/>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定量线性范围：1.0μg/kg - 75.0μg/kg；</w:t>
      </w:r>
    </w:p>
    <w:p>
      <w:pPr>
        <w:pStyle w:val="7"/>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样品前处理时间：7min；</w:t>
      </w:r>
    </w:p>
    <w:p>
      <w:pPr>
        <w:pStyle w:val="7"/>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检测时间：8min；</w:t>
      </w:r>
    </w:p>
    <w:p>
      <w:pPr>
        <w:pStyle w:val="7"/>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准确度：回收率为80%-125%；</w:t>
      </w:r>
    </w:p>
    <w:p>
      <w:pPr>
        <w:pStyle w:val="7"/>
        <w:keepNext w:val="0"/>
        <w:keepLines w:val="0"/>
        <w:pageBreakBefore w:val="0"/>
        <w:widowControl w:val="0"/>
        <w:numPr>
          <w:ilvl w:val="1"/>
          <w:numId w:val="3"/>
        </w:numPr>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特异性：在1000μg/kg浓度水平下与其它真菌毒素无交叉反应；</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ascii="微软雅黑" w:hAnsi="微软雅黑" w:eastAsia="微软雅黑"/>
          <w:sz w:val="18"/>
          <w:szCs w:val="18"/>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ascii="微软雅黑" w:hAnsi="微软雅黑" w:eastAsia="微软雅黑"/>
          <w:sz w:val="18"/>
          <w:szCs w:val="18"/>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ascii="微软雅黑" w:hAnsi="微软雅黑" w:eastAsia="微软雅黑"/>
          <w:sz w:val="18"/>
          <w:szCs w:val="18"/>
        </w:rPr>
      </w:pPr>
    </w:p>
    <w:p>
      <w:pPr>
        <w:pStyle w:val="7"/>
        <w:numPr>
          <w:ilvl w:val="0"/>
          <w:numId w:val="0"/>
        </w:numPr>
        <w:spacing w:line="360" w:lineRule="auto"/>
        <w:ind w:leftChars="0"/>
        <w:rPr>
          <w:rFonts w:ascii="微软雅黑" w:hAnsi="微软雅黑" w:eastAsia="微软雅黑"/>
          <w:b/>
          <w:color w:val="00B050"/>
          <w:sz w:val="18"/>
          <w:szCs w:val="18"/>
        </w:rPr>
      </w:pPr>
      <w:r>
        <w:rPr>
          <w:rFonts w:hint="eastAsia" w:ascii="微软雅黑" w:hAnsi="微软雅黑" w:eastAsia="微软雅黑" w:cs="微软雅黑"/>
          <w:b/>
          <w:bCs/>
          <w:color w:val="00B050"/>
          <w:kern w:val="2"/>
          <w:sz w:val="18"/>
          <w:szCs w:val="18"/>
          <w:lang w:val="en-US" w:eastAsia="zh-CN" w:bidi="ar-SA"/>
        </w:rPr>
        <w:t>4.2.</w:t>
      </w:r>
      <w:r>
        <w:rPr>
          <w:rFonts w:hint="eastAsia" w:ascii="微软雅黑" w:hAnsi="微软雅黑" w:eastAsia="微软雅黑"/>
          <w:b/>
          <w:color w:val="00B050"/>
          <w:sz w:val="18"/>
          <w:szCs w:val="18"/>
        </w:rPr>
        <w:t>样品前处理过程</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粉碎（</w:t>
      </w:r>
      <w:r>
        <w:rPr>
          <w:rFonts w:hint="eastAsia" w:ascii="微软雅黑" w:hAnsi="微软雅黑" w:eastAsia="微软雅黑"/>
          <w:sz w:val="18"/>
          <w:szCs w:val="18"/>
          <w:lang w:val="en-US" w:eastAsia="zh-CN"/>
        </w:rPr>
        <w:t>中药材</w:t>
      </w:r>
      <w:r>
        <w:rPr>
          <w:rFonts w:hint="eastAsia" w:ascii="微软雅黑" w:hAnsi="微软雅黑" w:eastAsia="微软雅黑"/>
          <w:sz w:val="18"/>
          <w:szCs w:val="18"/>
        </w:rPr>
        <w:t>样品粉碎处理</w:t>
      </w:r>
      <w:r>
        <w:rPr>
          <w:rFonts w:hint="eastAsia" w:ascii="微软雅黑" w:hAnsi="微软雅黑" w:eastAsia="微软雅黑"/>
          <w:sz w:val="18"/>
          <w:szCs w:val="18"/>
          <w:lang w:eastAsia="zh-CN"/>
        </w:rPr>
        <w:t>、</w:t>
      </w:r>
      <w:r>
        <w:rPr>
          <w:rFonts w:hint="eastAsia" w:ascii="微软雅黑" w:hAnsi="微软雅黑" w:eastAsia="微软雅黑"/>
          <w:sz w:val="18"/>
          <w:szCs w:val="18"/>
        </w:rPr>
        <w:t>称量）；</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ascii="微软雅黑" w:hAnsi="微软雅黑" w:eastAsia="微软雅黑"/>
          <w:sz w:val="18"/>
          <w:szCs w:val="18"/>
        </w:rPr>
        <w:t>振荡提取</w:t>
      </w:r>
      <w:r>
        <w:rPr>
          <w:rFonts w:hint="eastAsia" w:ascii="微软雅黑" w:hAnsi="微软雅黑" w:eastAsia="微软雅黑"/>
          <w:sz w:val="18"/>
          <w:szCs w:val="18"/>
        </w:rPr>
        <w:t>（5min）；</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离心（2min）；</w:t>
      </w:r>
    </w:p>
    <w:p>
      <w:pPr>
        <w:pStyle w:val="7"/>
        <w:spacing w:line="360" w:lineRule="auto"/>
        <w:ind w:left="426" w:firstLine="0" w:firstLineChars="0"/>
        <w:jc w:val="center"/>
        <w:rPr>
          <w:rFonts w:ascii="微软雅黑" w:hAnsi="微软雅黑" w:eastAsia="微软雅黑"/>
          <w:b/>
          <w:color w:val="00B050"/>
          <w:sz w:val="18"/>
          <w:szCs w:val="18"/>
        </w:rPr>
      </w:pPr>
      <w:r>
        <w:rPr>
          <w:rFonts w:ascii="微软雅黑" w:hAnsi="微软雅黑" w:eastAsia="微软雅黑"/>
          <w:b/>
          <w:sz w:val="18"/>
          <w:szCs w:val="18"/>
        </w:rPr>
        <w:drawing>
          <wp:inline distT="0" distB="0" distL="0" distR="0">
            <wp:extent cx="4767580" cy="1035685"/>
            <wp:effectExtent l="0" t="0" r="13970" b="12065"/>
            <wp:docPr id="13" name="图片 12" descr="样品前处理20170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样品前处理20170911.png"/>
                    <pic:cNvPicPr>
                      <a:picLocks noChangeAspect="1"/>
                    </pic:cNvPicPr>
                  </pic:nvPicPr>
                  <pic:blipFill>
                    <a:blip r:embed="rId6" cstate="print"/>
                    <a:stretch>
                      <a:fillRect/>
                    </a:stretch>
                  </pic:blipFill>
                  <pic:spPr>
                    <a:xfrm>
                      <a:off x="0" y="0"/>
                      <a:ext cx="4772578" cy="1037142"/>
                    </a:xfrm>
                    <a:prstGeom prst="rect">
                      <a:avLst/>
                    </a:prstGeom>
                  </pic:spPr>
                </pic:pic>
              </a:graphicData>
            </a:graphic>
          </wp:inline>
        </w:drawing>
      </w:r>
    </w:p>
    <w:p>
      <w:pPr>
        <w:pStyle w:val="7"/>
        <w:numPr>
          <w:ilvl w:val="0"/>
          <w:numId w:val="0"/>
        </w:numPr>
        <w:spacing w:line="360" w:lineRule="auto"/>
        <w:ind w:leftChars="0"/>
        <w:rPr>
          <w:rFonts w:ascii="微软雅黑" w:hAnsi="微软雅黑" w:eastAsia="微软雅黑"/>
          <w:b/>
          <w:color w:val="00B050"/>
          <w:sz w:val="18"/>
          <w:szCs w:val="18"/>
        </w:rPr>
      </w:pPr>
    </w:p>
    <w:p>
      <w:pPr>
        <w:pStyle w:val="7"/>
        <w:numPr>
          <w:ilvl w:val="0"/>
          <w:numId w:val="5"/>
        </w:numPr>
        <w:spacing w:line="360" w:lineRule="auto"/>
        <w:ind w:left="425" w:leftChars="0" w:hanging="425" w:firstLineChars="0"/>
        <w:rPr>
          <w:rFonts w:ascii="微软雅黑" w:hAnsi="微软雅黑" w:eastAsia="微软雅黑"/>
          <w:b/>
          <w:color w:val="00B050"/>
          <w:sz w:val="18"/>
          <w:szCs w:val="18"/>
        </w:rPr>
      </w:pPr>
      <w:r>
        <w:rPr>
          <w:rFonts w:hint="eastAsia" w:ascii="微软雅黑" w:hAnsi="微软雅黑" w:eastAsia="微软雅黑"/>
          <w:b/>
          <w:color w:val="00B050"/>
          <w:sz w:val="18"/>
          <w:szCs w:val="18"/>
        </w:rPr>
        <w:t>检测操作过程</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稀释；</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加样反应（8min）；</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240" w:lineRule="auto"/>
        <w:ind w:left="788" w:leftChars="0" w:right="0" w:rightChars="0" w:hanging="363" w:firstLineChars="0"/>
        <w:jc w:val="both"/>
        <w:textAlignment w:val="auto"/>
        <w:outlineLvl w:val="9"/>
        <w:rPr>
          <w:rFonts w:ascii="微软雅黑" w:hAnsi="微软雅黑" w:eastAsia="微软雅黑"/>
          <w:sz w:val="18"/>
          <w:szCs w:val="18"/>
        </w:rPr>
      </w:pPr>
      <w:r>
        <w:rPr>
          <w:rFonts w:hint="eastAsia" w:ascii="微软雅黑" w:hAnsi="微软雅黑" w:eastAsia="微软雅黑"/>
          <w:sz w:val="18"/>
          <w:szCs w:val="18"/>
        </w:rPr>
        <w:t>读数，打印检测报告；</w:t>
      </w:r>
    </w:p>
    <w:p>
      <w:pPr>
        <w:keepNext w:val="0"/>
        <w:keepLines w:val="0"/>
        <w:widowControl/>
        <w:suppressLineNumbers w:val="0"/>
        <w:shd w:val="clear" w:fill="FFFFFF"/>
        <w:ind w:left="0" w:firstLine="0"/>
        <w:jc w:val="center"/>
        <w:rPr>
          <w:rFonts w:hint="default" w:ascii="Tahoma" w:hAnsi="Tahoma" w:eastAsia="Tahoma" w:cs="Tahoma"/>
          <w:b w:val="0"/>
          <w:i w:val="0"/>
          <w:caps w:val="0"/>
          <w:color w:val="444444"/>
          <w:spacing w:val="0"/>
          <w:sz w:val="24"/>
          <w:szCs w:val="24"/>
        </w:rPr>
      </w:pPr>
      <w:r>
        <w:rPr>
          <w:rFonts w:ascii="微软雅黑" w:hAnsi="微软雅黑" w:eastAsia="微软雅黑"/>
          <w:b/>
          <w:sz w:val="18"/>
          <w:szCs w:val="18"/>
        </w:rPr>
        <w:drawing>
          <wp:inline distT="0" distB="0" distL="0" distR="0">
            <wp:extent cx="4735830" cy="1027430"/>
            <wp:effectExtent l="0" t="0" r="7620" b="1270"/>
            <wp:docPr id="14" name="图片 13" descr="检测过程示意图20170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检测过程示意图20170911.png"/>
                    <pic:cNvPicPr>
                      <a:picLocks noChangeAspect="1"/>
                    </pic:cNvPicPr>
                  </pic:nvPicPr>
                  <pic:blipFill>
                    <a:blip r:embed="rId7" cstate="print"/>
                    <a:stretch>
                      <a:fillRect/>
                    </a:stretch>
                  </pic:blipFill>
                  <pic:spPr>
                    <a:xfrm>
                      <a:off x="0" y="0"/>
                      <a:ext cx="4744331" cy="1029290"/>
                    </a:xfrm>
                    <a:prstGeom prst="rect">
                      <a:avLst/>
                    </a:prstGeom>
                  </pic:spPr>
                </pic:pic>
              </a:graphicData>
            </a:graphic>
          </wp:inline>
        </w:drawing>
      </w:r>
    </w:p>
    <w:p>
      <w:pPr>
        <w:pStyle w:val="7"/>
        <w:numPr>
          <w:ilvl w:val="0"/>
          <w:numId w:val="0"/>
        </w:numPr>
        <w:spacing w:line="360" w:lineRule="auto"/>
        <w:ind w:leftChars="0"/>
        <w:rPr>
          <w:rFonts w:hint="eastAsia" w:ascii="微软雅黑" w:hAnsi="微软雅黑" w:eastAsia="微软雅黑"/>
          <w:b/>
          <w:color w:val="00B050"/>
          <w:sz w:val="18"/>
          <w:szCs w:val="18"/>
        </w:rPr>
      </w:pPr>
    </w:p>
    <w:p>
      <w:pPr>
        <w:keepNext w:val="0"/>
        <w:keepLines w:val="0"/>
        <w:widowControl/>
        <w:numPr>
          <w:ilvl w:val="0"/>
          <w:numId w:val="7"/>
        </w:numPr>
        <w:suppressLineNumbers w:val="0"/>
        <w:shd w:val="clear" w:fill="FFFFFF"/>
        <w:ind w:left="425" w:leftChars="0" w:hanging="425" w:firstLineChars="0"/>
        <w:jc w:val="left"/>
        <w:rPr>
          <w:rFonts w:hint="eastAsia" w:ascii="微软雅黑" w:hAnsi="微软雅黑" w:eastAsia="微软雅黑" w:cs="微软雅黑"/>
          <w:b/>
          <w:bCs/>
          <w:color w:val="00B050"/>
          <w:kern w:val="2"/>
          <w:sz w:val="18"/>
          <w:szCs w:val="18"/>
          <w:lang w:val="en-US" w:eastAsia="zh-CN" w:bidi="ar-SA"/>
        </w:rPr>
      </w:pPr>
      <w:r>
        <w:rPr>
          <w:rFonts w:hint="default" w:ascii="微软雅黑" w:hAnsi="微软雅黑" w:eastAsia="微软雅黑" w:cs="微软雅黑"/>
          <w:b/>
          <w:bCs/>
          <w:color w:val="00B050"/>
          <w:kern w:val="2"/>
          <w:sz w:val="18"/>
          <w:szCs w:val="18"/>
          <w:lang w:val="en-US" w:eastAsia="zh-CN" w:bidi="ar-SA"/>
        </w:rPr>
        <w:t>结果判读和输出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eastAsia" w:ascii="微软雅黑" w:hAnsi="微软雅黑" w:eastAsia="微软雅黑" w:cs="微软雅黑"/>
          <w:b w:val="0"/>
          <w:i w:val="0"/>
          <w:caps w:val="0"/>
          <w:color w:val="auto"/>
          <w:spacing w:val="0"/>
          <w:kern w:val="0"/>
          <w:sz w:val="18"/>
          <w:szCs w:val="18"/>
          <w:shd w:val="clear" w:fill="FFFFFF"/>
          <w:lang w:val="en-US" w:eastAsia="zh-CN" w:bidi="ar"/>
        </w:rPr>
        <w:t>采用便携式黄曲霉毒素B1检测仪进行读数，使得检测结果更加准确、客观，避免人为的误判。</w:t>
      </w:r>
    </w:p>
    <w:p>
      <w:pPr>
        <w:keepNext w:val="0"/>
        <w:keepLines w:val="0"/>
        <w:widowControl/>
        <w:suppressLineNumbers w:val="0"/>
        <w:shd w:val="clear" w:fill="FFFFFF"/>
        <w:spacing w:after="75" w:afterAutospacing="0"/>
        <w:ind w:left="0" w:firstLine="0"/>
        <w:jc w:val="center"/>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default" w:ascii="微软雅黑" w:hAnsi="微软雅黑" w:eastAsia="微软雅黑" w:cs="微软雅黑"/>
          <w:b w:val="0"/>
          <w:i w:val="0"/>
          <w:caps w:val="0"/>
          <w:color w:val="auto"/>
          <w:spacing w:val="0"/>
          <w:kern w:val="0"/>
          <w:sz w:val="18"/>
          <w:szCs w:val="18"/>
          <w:shd w:val="clear" w:fill="FFFFFF"/>
          <w:lang w:val="en-US" w:eastAsia="zh-CN" w:bidi="ar"/>
        </w:rPr>
        <w:drawing>
          <wp:inline distT="0" distB="0" distL="114300" distR="114300">
            <wp:extent cx="2238375" cy="1704340"/>
            <wp:effectExtent l="0" t="0" r="9525" b="1016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2238375" cy="17043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default" w:ascii="微软雅黑" w:hAnsi="微软雅黑" w:eastAsia="微软雅黑" w:cs="微软雅黑"/>
          <w:b w:val="0"/>
          <w:i w:val="0"/>
          <w:caps w:val="0"/>
          <w:color w:val="auto"/>
          <w:spacing w:val="0"/>
          <w:kern w:val="0"/>
          <w:sz w:val="18"/>
          <w:szCs w:val="18"/>
          <w:shd w:val="clear" w:fill="FFFFFF"/>
          <w:lang w:val="en-US" w:eastAsia="zh-CN" w:bidi="ar"/>
        </w:rPr>
        <w:t>     检测结果将呈现于荧光读数仪液晶显示屏上，同时可按打印键打印获得纸质的检测报告，另外，开通仪器的WIFI数据上传功能后，检测相关数据信息将自动上传至“食品安全溯源管理云平台”，便于溯源及质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微软雅黑" w:hAnsi="微软雅黑" w:eastAsia="微软雅黑" w:cs="微软雅黑"/>
          <w:b w:val="0"/>
          <w:i w:val="0"/>
          <w:caps w:val="0"/>
          <w:color w:val="auto"/>
          <w:spacing w:val="0"/>
          <w:kern w:val="0"/>
          <w:sz w:val="18"/>
          <w:szCs w:val="18"/>
          <w:shd w:val="clear" w:fill="FFFFFF"/>
          <w:lang w:val="en-US" w:eastAsia="zh-CN" w:bidi="ar"/>
        </w:rPr>
      </w:pPr>
      <w:r>
        <w:rPr>
          <w:rFonts w:hint="default" w:ascii="微软雅黑" w:hAnsi="微软雅黑" w:eastAsia="微软雅黑" w:cs="微软雅黑"/>
          <w:b w:val="0"/>
          <w:i w:val="0"/>
          <w:caps w:val="0"/>
          <w:color w:val="auto"/>
          <w:spacing w:val="0"/>
          <w:kern w:val="0"/>
          <w:sz w:val="18"/>
          <w:szCs w:val="18"/>
          <w:shd w:val="clear" w:fill="FFFFFF"/>
          <w:lang w:val="en-US" w:eastAsia="zh-CN" w:bidi="ar"/>
        </w:rPr>
        <w:drawing>
          <wp:inline distT="0" distB="0" distL="114300" distR="114300">
            <wp:extent cx="1765300" cy="1354455"/>
            <wp:effectExtent l="0" t="0" r="6350" b="17145"/>
            <wp:docPr id="6" name="图片 6" descr="检测结果判读和输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检测结果判读和输出"/>
                    <pic:cNvPicPr>
                      <a:picLocks noChangeAspect="1"/>
                    </pic:cNvPicPr>
                  </pic:nvPicPr>
                  <pic:blipFill>
                    <a:blip r:embed="rId9"/>
                    <a:stretch>
                      <a:fillRect/>
                    </a:stretch>
                  </pic:blipFill>
                  <pic:spPr>
                    <a:xfrm>
                      <a:off x="0" y="0"/>
                      <a:ext cx="1765300" cy="135445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微软雅黑" w:hAnsi="微软雅黑" w:eastAsia="微软雅黑" w:cs="微软雅黑"/>
          <w:b w:val="0"/>
          <w:i w:val="0"/>
          <w:caps w:val="0"/>
          <w:color w:val="auto"/>
          <w:spacing w:val="0"/>
          <w:kern w:val="0"/>
          <w:sz w:val="18"/>
          <w:szCs w:val="18"/>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Tahoma" w:hAnsi="Tahoma" w:eastAsia="Tahoma" w:cs="Tahoma"/>
          <w:b w:val="0"/>
          <w:i w:val="0"/>
          <w:caps w:val="0"/>
          <w:color w:val="444444"/>
          <w:spacing w:val="0"/>
          <w:sz w:val="24"/>
          <w:szCs w:val="24"/>
        </w:rPr>
      </w:pPr>
    </w:p>
    <w:p>
      <w:pPr>
        <w:keepNext w:val="0"/>
        <w:keepLines w:val="0"/>
        <w:widowControl/>
        <w:numPr>
          <w:ilvl w:val="0"/>
          <w:numId w:val="8"/>
        </w:numPr>
        <w:suppressLineNumbers w:val="0"/>
        <w:shd w:val="clear" w:fill="FFFFFF"/>
        <w:ind w:left="425" w:leftChars="0" w:hanging="425" w:firstLineChars="0"/>
        <w:jc w:val="left"/>
        <w:rPr>
          <w:rFonts w:hint="default" w:ascii="微软雅黑" w:hAnsi="微软雅黑" w:eastAsia="微软雅黑" w:cs="微软雅黑"/>
          <w:b/>
          <w:bCs/>
          <w:color w:val="00B050"/>
          <w:kern w:val="2"/>
          <w:sz w:val="18"/>
          <w:szCs w:val="18"/>
          <w:lang w:val="en-US" w:eastAsia="zh-CN" w:bidi="ar-SA"/>
        </w:rPr>
      </w:pPr>
      <w:r>
        <w:rPr>
          <w:rFonts w:hint="default" w:ascii="微软雅黑" w:hAnsi="微软雅黑" w:eastAsia="微软雅黑" w:cs="微软雅黑"/>
          <w:b/>
          <w:bCs/>
          <w:color w:val="00B050"/>
          <w:kern w:val="2"/>
          <w:sz w:val="18"/>
          <w:szCs w:val="18"/>
          <w:lang w:val="en-US" w:eastAsia="zh-CN" w:bidi="ar-SA"/>
        </w:rPr>
        <w:t>上海飞测生物真菌毒素系列荧光定量检测试纸条产品特点</w:t>
      </w:r>
    </w:p>
    <w:p>
      <w:pPr>
        <w:keepNext w:val="0"/>
        <w:keepLines w:val="0"/>
        <w:widowControl/>
        <w:suppressLineNumbers w:val="0"/>
        <w:shd w:val="clear" w:fill="FFFFFF"/>
        <w:ind w:left="0" w:firstLine="0"/>
        <w:jc w:val="left"/>
        <w:rPr>
          <w:rFonts w:hint="default" w:ascii="Tahoma" w:hAnsi="Tahoma" w:eastAsia="Tahoma" w:cs="Tahoma"/>
          <w:b w:val="0"/>
          <w:i w:val="0"/>
          <w:caps w:val="0"/>
          <w:color w:val="444444"/>
          <w:spacing w:val="0"/>
          <w:sz w:val="24"/>
          <w:szCs w:val="24"/>
        </w:rPr>
      </w:pPr>
      <w:r>
        <w:rPr>
          <w:rFonts w:hint="default" w:ascii="Tahoma" w:hAnsi="Tahoma" w:eastAsia="Tahoma" w:cs="Tahoma"/>
          <w:b w:val="0"/>
          <w:i w:val="0"/>
          <w:caps w:val="0"/>
          <w:color w:val="444444"/>
          <w:spacing w:val="0"/>
          <w:sz w:val="24"/>
          <w:szCs w:val="24"/>
        </w:rPr>
        <w:drawing>
          <wp:inline distT="0" distB="0" distL="114300" distR="114300">
            <wp:extent cx="5269865" cy="2776855"/>
            <wp:effectExtent l="0" t="0" r="6985" b="4445"/>
            <wp:docPr id="1" name="图片 1" descr="产品特点（新-11.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产品特点（新-11.21）_1"/>
                    <pic:cNvPicPr>
                      <a:picLocks noChangeAspect="1"/>
                    </pic:cNvPicPr>
                  </pic:nvPicPr>
                  <pic:blipFill>
                    <a:blip r:embed="rId10"/>
                    <a:stretch>
                      <a:fillRect/>
                    </a:stretch>
                  </pic:blipFill>
                  <pic:spPr>
                    <a:xfrm>
                      <a:off x="0" y="0"/>
                      <a:ext cx="5269865" cy="2776855"/>
                    </a:xfrm>
                    <a:prstGeom prst="rect">
                      <a:avLst/>
                    </a:prstGeom>
                  </pic:spPr>
                </pic:pic>
              </a:graphicData>
            </a:graphic>
          </wp:inline>
        </w:drawing>
      </w:r>
    </w:p>
    <w:p>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BX">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MS Outlook">
    <w:panose1 w:val="05010100010000000000"/>
    <w:charset w:val="00"/>
    <w:family w:val="auto"/>
    <w:pitch w:val="default"/>
    <w:sig w:usb0="00000000" w:usb1="00000000" w:usb2="00000000" w:usb3="00000000" w:csb0="80000000"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amp;quo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6151"/>
    <w:multiLevelType w:val="multilevel"/>
    <w:tmpl w:val="433461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4B27021"/>
    <w:multiLevelType w:val="multilevel"/>
    <w:tmpl w:val="54B27021"/>
    <w:lvl w:ilvl="0" w:tentative="0">
      <w:start w:val="1"/>
      <w:numFmt w:val="decimal"/>
      <w:lvlText w:val="%1、"/>
      <w:lvlJc w:val="left"/>
      <w:pPr>
        <w:ind w:left="786" w:hanging="360"/>
      </w:pPr>
      <w:rPr>
        <w:rFonts w:hint="default"/>
        <w:b w:val="0"/>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5A12959D"/>
    <w:multiLevelType w:val="singleLevel"/>
    <w:tmpl w:val="5A12959D"/>
    <w:lvl w:ilvl="0" w:tentative="0">
      <w:start w:val="1"/>
      <w:numFmt w:val="chineseCounting"/>
      <w:suff w:val="nothing"/>
      <w:lvlText w:val="%1、"/>
      <w:lvlJc w:val="left"/>
      <w:pPr>
        <w:ind w:left="0" w:firstLine="420"/>
      </w:pPr>
      <w:rPr>
        <w:rFonts w:hint="eastAsia"/>
      </w:rPr>
    </w:lvl>
  </w:abstractNum>
  <w:abstractNum w:abstractNumId="3">
    <w:nsid w:val="5A12A749"/>
    <w:multiLevelType w:val="multilevel"/>
    <w:tmpl w:val="5A12A749"/>
    <w:lvl w:ilvl="0" w:tentative="0">
      <w:start w:val="1"/>
      <w:numFmt w:val="chineseCounting"/>
      <w:suff w:val="nothing"/>
      <w:lvlText w:val="第%1章 "/>
      <w:lvlJc w:val="left"/>
      <w:pPr>
        <w:tabs>
          <w:tab w:val="left" w:pos="420"/>
        </w:tabs>
        <w:ind w:left="425" w:hanging="425"/>
      </w:pPr>
      <w:rPr>
        <w:rFonts w:hint="eastAsia" w:ascii="宋体" w:hAnsi="宋体" w:eastAsia="宋体" w:cs="宋体"/>
      </w:rPr>
    </w:lvl>
    <w:lvl w:ilvl="1" w:tentative="0">
      <w:start w:val="1"/>
      <w:numFmt w:val="none"/>
      <w:lvlText w:val="4.1."/>
      <w:lvlJc w:val="left"/>
      <w:pPr>
        <w:tabs>
          <w:tab w:val="left" w:pos="420"/>
        </w:tabs>
        <w:ind w:left="567" w:hanging="567"/>
      </w:pPr>
      <w:rPr>
        <w:rFonts w:hint="eastAsia" w:ascii="宋体" w:hAnsi="宋体" w:eastAsia="宋体" w:cs="宋体"/>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ascii="宋体" w:hAnsi="宋体" w:eastAsia="宋体" w:cs="宋体"/>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4">
    <w:nsid w:val="5A12A801"/>
    <w:multiLevelType w:val="multilevel"/>
    <w:tmpl w:val="5A12A801"/>
    <w:lvl w:ilvl="0" w:tentative="0">
      <w:start w:val="1"/>
      <w:numFmt w:val="none"/>
      <w:lvlText w:val="4.3."/>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5A12A842"/>
    <w:multiLevelType w:val="multilevel"/>
    <w:tmpl w:val="5A12A842"/>
    <w:lvl w:ilvl="0" w:tentative="0">
      <w:start w:val="1"/>
      <w:numFmt w:val="none"/>
      <w:lvlText w:val="4.4."/>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5A12A861"/>
    <w:multiLevelType w:val="multilevel"/>
    <w:tmpl w:val="5A12A861"/>
    <w:lvl w:ilvl="0" w:tentative="0">
      <w:start w:val="1"/>
      <w:numFmt w:val="none"/>
      <w:lvlText w:val="4.5."/>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72D231DB"/>
    <w:multiLevelType w:val="multilevel"/>
    <w:tmpl w:val="72D231DB"/>
    <w:lvl w:ilvl="0" w:tentative="0">
      <w:start w:val="1"/>
      <w:numFmt w:val="decimal"/>
      <w:lvlText w:val="%1、"/>
      <w:lvlJc w:val="left"/>
      <w:pPr>
        <w:ind w:left="786" w:hanging="360"/>
      </w:pPr>
      <w:rPr>
        <w:rFonts w:hint="default"/>
        <w:b w:val="0"/>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3"/>
  </w:num>
  <w:num w:numId="3">
    <w:abstractNumId w:val="0"/>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B2F59"/>
    <w:rsid w:val="0CB40AC9"/>
    <w:rsid w:val="164071AC"/>
    <w:rsid w:val="1C392817"/>
    <w:rsid w:val="225470ED"/>
    <w:rsid w:val="29223199"/>
    <w:rsid w:val="29AE6A18"/>
    <w:rsid w:val="2B233AEE"/>
    <w:rsid w:val="2B8366D9"/>
    <w:rsid w:val="2F7044D8"/>
    <w:rsid w:val="31EE49F2"/>
    <w:rsid w:val="3F0E3439"/>
    <w:rsid w:val="40DD6A95"/>
    <w:rsid w:val="443D6F7C"/>
    <w:rsid w:val="46E7000D"/>
    <w:rsid w:val="4A6B24C2"/>
    <w:rsid w:val="4A857F5F"/>
    <w:rsid w:val="50FC4022"/>
    <w:rsid w:val="601232DA"/>
    <w:rsid w:val="607E0A52"/>
    <w:rsid w:val="643E07A1"/>
    <w:rsid w:val="66F93590"/>
    <w:rsid w:val="67B640C4"/>
    <w:rsid w:val="69640319"/>
    <w:rsid w:val="6C4D3B97"/>
    <w:rsid w:val="6C7846F0"/>
    <w:rsid w:val="7744702E"/>
    <w:rsid w:val="7F9C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firstLine="420" w:firstLineChars="200"/>
    </w:pPr>
  </w:style>
  <w:style w:type="table" w:customStyle="1" w:styleId="8">
    <w:name w:val="浅色底纹1"/>
    <w:basedOn w:val="5"/>
    <w:qFormat/>
    <w:uiPriority w:val="60"/>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1443</Words>
  <Characters>1585</Characters>
  <Lines>0</Lines>
  <Paragraphs>0</Paragraphs>
  <ScaleCrop>false</ScaleCrop>
  <LinksUpToDate>false</LinksUpToDate>
  <CharactersWithSpaces>1624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microdetection</dc:creator>
  <cp:lastModifiedBy>S家</cp:lastModifiedBy>
  <dcterms:modified xsi:type="dcterms:W3CDTF">2017-11-21T06:30:35Z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